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09B6"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b/>
          <w:bCs/>
          <w:color w:val="000000"/>
          <w:kern w:val="0"/>
          <w:sz w:val="20"/>
          <w:szCs w:val="20"/>
          <w14:ligatures w14:val="none"/>
        </w:rPr>
        <w:t>7.  OWNERS’ ASSOCIATIONS. </w:t>
      </w:r>
      <w:r w:rsidRPr="00022C4F">
        <w:rPr>
          <w:rFonts w:ascii="Arial" w:eastAsia="Times New Roman" w:hAnsi="Arial" w:cs="Arial"/>
          <w:color w:val="000000"/>
          <w:kern w:val="0"/>
          <w:sz w:val="20"/>
          <w:szCs w:val="20"/>
          <w14:ligatures w14:val="none"/>
        </w:rPr>
        <w:t>This Section is applicable if the Property is located within one or more Common Interest Communities and subject to one or more declarations (Association).</w:t>
      </w:r>
    </w:p>
    <w:p w14:paraId="1DD9590C"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color w:val="000000"/>
          <w:kern w:val="0"/>
          <w:sz w:val="20"/>
          <w:szCs w:val="20"/>
          <w14:ligatures w14:val="none"/>
        </w:rPr>
        <w:t> </w:t>
      </w:r>
      <w:r w:rsidRPr="00022C4F">
        <w:rPr>
          <w:rFonts w:ascii="Arial" w:eastAsia="Times New Roman" w:hAnsi="Arial" w:cs="Arial"/>
          <w:b/>
          <w:bCs/>
          <w:color w:val="000000"/>
          <w:kern w:val="0"/>
          <w:sz w:val="20"/>
          <w:szCs w:val="20"/>
          <w14:ligatures w14:val="none"/>
        </w:rPr>
        <w:t>7.1.  Common Interest Community Disclosure. THE PROPERTY IS LOCATED WITHIN A COMMON INTEREST COMMUNITY AND IS SUBJECT TO THE DECLARATION FOR THE COMMUNITY. THE OWNER OF THE PROPERTY WILL BE REQUIRED TO BE A MEMBER OF THE OWNERS’ ASSOCIATION FOR THE COMMUNITY AND WILL BE SUBJECT TO THE BYLAWS AND RULES AND REGULATIONS OF THE ASSOCIATION. THE DECLARATION, BYLAWS AND RULES AND REGULATIONS WILL IMPOSE FINANCIAL OBLIGATIONS UPON THE OWNER OF THE PROPERTY, INCLUDING AN OBLIGATION TO PAY ASSESSMENTS OF THE ASSOCIATION. IF THE OWNER DOES NOT PAY THESE ASSESSMENTS, THE ASSOCIATION COULD PLACE A LIEN ON THE PROPERTY AND POSSIBLY SELL IT TO PAY THE DEBT. THE DECLARATION, BYLAWS AND RULES AND REGULATIONS OF THE COMMUNITY MAY PROHIBIT THE OWNER FROM MAKING CHANGES TO THE PROPERTY WITHOUT AN ARCHITECTURAL REVIEW BY THE ASSOCIATION (OR A COMMITTEE OF THE ASSOCIATION) AND THE APPROVAL OF THE ASSOCIATION. PURCHASERS OF PROPERTY WITHIN THE COMMON INTEREST COMMUNITY SHOULD INVESTIGATE THE FINANCIAL OBLIGATIONS OF MEMBERS OF THE ASSOCIATION. PURCHASERS SHOULD CAREFULLY READ THE DECLARATION FOR THE COMMUNITY AND THE BYLAWS AND RULES AND REGULATIONS OF THE ASSOCIATION.</w:t>
      </w:r>
    </w:p>
    <w:p w14:paraId="3639D13D"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color w:val="000000"/>
          <w:kern w:val="0"/>
          <w:sz w:val="20"/>
          <w:szCs w:val="20"/>
          <w14:ligatures w14:val="none"/>
        </w:rPr>
        <w:t> </w:t>
      </w:r>
      <w:r w:rsidRPr="00022C4F">
        <w:rPr>
          <w:rFonts w:ascii="Arial" w:eastAsia="Times New Roman" w:hAnsi="Arial" w:cs="Arial"/>
          <w:b/>
          <w:bCs/>
          <w:color w:val="000000"/>
          <w:kern w:val="0"/>
          <w:sz w:val="20"/>
          <w:szCs w:val="20"/>
          <w14:ligatures w14:val="none"/>
        </w:rPr>
        <w:t>7.2.  Association Documents to Buyer. </w:t>
      </w:r>
      <w:r w:rsidRPr="00022C4F">
        <w:rPr>
          <w:rFonts w:ascii="Arial" w:eastAsia="Times New Roman" w:hAnsi="Arial" w:cs="Arial"/>
          <w:color w:val="000000"/>
          <w:kern w:val="0"/>
          <w:sz w:val="20"/>
          <w:szCs w:val="20"/>
          <w14:ligatures w14:val="none"/>
        </w:rPr>
        <w:t>Seller is obligated to provide to Buyer the Association Documents (defined below), at Seller’s expense, on or before </w:t>
      </w:r>
      <w:r w:rsidRPr="00022C4F">
        <w:rPr>
          <w:rFonts w:ascii="Arial" w:eastAsia="Times New Roman" w:hAnsi="Arial" w:cs="Arial"/>
          <w:b/>
          <w:bCs/>
          <w:color w:val="000000"/>
          <w:kern w:val="0"/>
          <w:sz w:val="20"/>
          <w:szCs w:val="20"/>
          <w14:ligatures w14:val="none"/>
        </w:rPr>
        <w:t>Association Documents Deadline.</w:t>
      </w:r>
      <w:r w:rsidRPr="00022C4F">
        <w:rPr>
          <w:rFonts w:ascii="Arial" w:eastAsia="Times New Roman" w:hAnsi="Arial" w:cs="Arial"/>
          <w:color w:val="000000"/>
          <w:kern w:val="0"/>
          <w:sz w:val="20"/>
          <w:szCs w:val="20"/>
          <w14:ligatures w14:val="none"/>
        </w:rPr>
        <w:t> Seller authorizes the Association to provide the Association Documents to Buyer, at Seller’s expense. Seller’s obligation to provide the Association Documents is fulfilled upon Buyer’s receipt of the Association Documents, regardless of who provides such documents.</w:t>
      </w:r>
    </w:p>
    <w:p w14:paraId="631CED9F"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color w:val="000000"/>
          <w:kern w:val="0"/>
          <w:sz w:val="20"/>
          <w:szCs w:val="20"/>
          <w14:ligatures w14:val="none"/>
        </w:rPr>
        <w:t> </w:t>
      </w:r>
      <w:r w:rsidRPr="00022C4F">
        <w:rPr>
          <w:rFonts w:ascii="Arial" w:eastAsia="Times New Roman" w:hAnsi="Arial" w:cs="Arial"/>
          <w:b/>
          <w:bCs/>
          <w:color w:val="000000"/>
          <w:kern w:val="0"/>
          <w:sz w:val="20"/>
          <w:szCs w:val="20"/>
          <w14:ligatures w14:val="none"/>
        </w:rPr>
        <w:t>7.3.  Association Documents. </w:t>
      </w:r>
      <w:r w:rsidRPr="00022C4F">
        <w:rPr>
          <w:rFonts w:ascii="Arial" w:eastAsia="Times New Roman" w:hAnsi="Arial" w:cs="Arial"/>
          <w:color w:val="000000"/>
          <w:kern w:val="0"/>
          <w:sz w:val="20"/>
          <w:szCs w:val="20"/>
          <w14:ligatures w14:val="none"/>
        </w:rPr>
        <w:t>Association documents (Association Documents) consist of the following:</w:t>
      </w:r>
    </w:p>
    <w:p w14:paraId="67D4CC25"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color w:val="000000"/>
          <w:kern w:val="0"/>
          <w:sz w:val="20"/>
          <w:szCs w:val="20"/>
          <w14:ligatures w14:val="none"/>
        </w:rPr>
        <w:t>  </w:t>
      </w:r>
      <w:r w:rsidRPr="00022C4F">
        <w:rPr>
          <w:rFonts w:ascii="Arial" w:eastAsia="Times New Roman" w:hAnsi="Arial" w:cs="Arial"/>
          <w:b/>
          <w:bCs/>
          <w:color w:val="000000"/>
          <w:kern w:val="0"/>
          <w:sz w:val="20"/>
          <w:szCs w:val="20"/>
          <w14:ligatures w14:val="none"/>
        </w:rPr>
        <w:t>7.3.1.  </w:t>
      </w:r>
      <w:r w:rsidRPr="00022C4F">
        <w:rPr>
          <w:rFonts w:ascii="Arial" w:eastAsia="Times New Roman" w:hAnsi="Arial" w:cs="Arial"/>
          <w:color w:val="000000"/>
          <w:kern w:val="0"/>
          <w:sz w:val="20"/>
          <w:szCs w:val="20"/>
          <w14:ligatures w14:val="none"/>
        </w:rPr>
        <w:t>All Association declarations, articles of incorporation, bylaws, articles of organization, operating agreements, rules and regulations, party wall agreements and the Association’s responsible governance policies adopted under § 38-33.3-209.5, C.R.S.;</w:t>
      </w:r>
    </w:p>
    <w:p w14:paraId="69A88A0B"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color w:val="000000"/>
          <w:kern w:val="0"/>
          <w:sz w:val="20"/>
          <w:szCs w:val="20"/>
          <w14:ligatures w14:val="none"/>
        </w:rPr>
        <w:t>  </w:t>
      </w:r>
      <w:r w:rsidRPr="00022C4F">
        <w:rPr>
          <w:rFonts w:ascii="Arial" w:eastAsia="Times New Roman" w:hAnsi="Arial" w:cs="Arial"/>
          <w:b/>
          <w:bCs/>
          <w:color w:val="000000"/>
          <w:kern w:val="0"/>
          <w:sz w:val="20"/>
          <w:szCs w:val="20"/>
          <w14:ligatures w14:val="none"/>
        </w:rPr>
        <w:t>7.3.2.  </w:t>
      </w:r>
      <w:r w:rsidRPr="00022C4F">
        <w:rPr>
          <w:rFonts w:ascii="Arial" w:eastAsia="Times New Roman" w:hAnsi="Arial" w:cs="Arial"/>
          <w:color w:val="000000"/>
          <w:kern w:val="0"/>
          <w:sz w:val="20"/>
          <w:szCs w:val="20"/>
          <w14:ligatures w14:val="none"/>
        </w:rPr>
        <w:t xml:space="preserve">Minutes of: (1) the annual owners’ or members’ meeting and (2) any executive </w:t>
      </w:r>
      <w:proofErr w:type="gramStart"/>
      <w:r w:rsidRPr="00022C4F">
        <w:rPr>
          <w:rFonts w:ascii="Arial" w:eastAsia="Times New Roman" w:hAnsi="Arial" w:cs="Arial"/>
          <w:color w:val="000000"/>
          <w:kern w:val="0"/>
          <w:sz w:val="20"/>
          <w:szCs w:val="20"/>
          <w14:ligatures w14:val="none"/>
        </w:rPr>
        <w:t>boards’</w:t>
      </w:r>
      <w:proofErr w:type="gramEnd"/>
      <w:r w:rsidRPr="00022C4F">
        <w:rPr>
          <w:rFonts w:ascii="Arial" w:eastAsia="Times New Roman" w:hAnsi="Arial" w:cs="Arial"/>
          <w:color w:val="000000"/>
          <w:kern w:val="0"/>
          <w:sz w:val="20"/>
          <w:szCs w:val="20"/>
          <w14:ligatures w14:val="none"/>
        </w:rPr>
        <w:t xml:space="preserve"> or managers’ meetings; such minutes include those provided under the most current annual disclosure required under § 38-33.3-209.4, C.R.S. (Annual Disclosure) and minutes of meetings, if any, subsequent to the minutes disclosed in the Annual Disclosure. If none of the preceding minutes exist, then the most recent minutes, if any (§§ 7.3.1. and 7.3.2., collectively, Governing Documents); and</w:t>
      </w:r>
    </w:p>
    <w:p w14:paraId="01C4C9B3"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color w:val="000000"/>
          <w:kern w:val="0"/>
          <w:sz w:val="20"/>
          <w:szCs w:val="20"/>
          <w14:ligatures w14:val="none"/>
        </w:rPr>
        <w:t>  </w:t>
      </w:r>
      <w:r w:rsidRPr="00022C4F">
        <w:rPr>
          <w:rFonts w:ascii="Arial" w:eastAsia="Times New Roman" w:hAnsi="Arial" w:cs="Arial"/>
          <w:b/>
          <w:bCs/>
          <w:color w:val="000000"/>
          <w:kern w:val="0"/>
          <w:sz w:val="20"/>
          <w:szCs w:val="20"/>
          <w14:ligatures w14:val="none"/>
        </w:rPr>
        <w:t>7.3.3.  </w:t>
      </w:r>
      <w:r w:rsidRPr="00022C4F">
        <w:rPr>
          <w:rFonts w:ascii="Arial" w:eastAsia="Times New Roman" w:hAnsi="Arial" w:cs="Arial"/>
          <w:color w:val="000000"/>
          <w:kern w:val="0"/>
          <w:sz w:val="20"/>
          <w:szCs w:val="20"/>
          <w14:ligatures w14:val="none"/>
        </w:rPr>
        <w:t>List of all Association insurance policies as provided in the Association’s last Annual Disclosure, including, but not limited to, property, general liability, association director and officer professional liability and fidelity policies. The list must include the company names, policy limits, policy deductibles, additional named insureds and expiration dates of the policies listed (Association Insurance Documents);</w:t>
      </w:r>
    </w:p>
    <w:p w14:paraId="757A9B9C"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color w:val="000000"/>
          <w:kern w:val="0"/>
          <w:sz w:val="20"/>
          <w:szCs w:val="20"/>
          <w14:ligatures w14:val="none"/>
        </w:rPr>
        <w:t>  </w:t>
      </w:r>
      <w:r w:rsidRPr="00022C4F">
        <w:rPr>
          <w:rFonts w:ascii="Arial" w:eastAsia="Times New Roman" w:hAnsi="Arial" w:cs="Arial"/>
          <w:b/>
          <w:bCs/>
          <w:color w:val="000000"/>
          <w:kern w:val="0"/>
          <w:sz w:val="20"/>
          <w:szCs w:val="20"/>
          <w14:ligatures w14:val="none"/>
        </w:rPr>
        <w:t>7.3.4.  </w:t>
      </w:r>
      <w:r w:rsidRPr="00022C4F">
        <w:rPr>
          <w:rFonts w:ascii="Arial" w:eastAsia="Times New Roman" w:hAnsi="Arial" w:cs="Arial"/>
          <w:color w:val="000000"/>
          <w:kern w:val="0"/>
          <w:sz w:val="20"/>
          <w:szCs w:val="20"/>
          <w14:ligatures w14:val="none"/>
        </w:rPr>
        <w:t>A list by unit type of the Association’s assessments, including both regular and special assessments as disclosed in the Association’s last Annual Disclosure;</w:t>
      </w:r>
    </w:p>
    <w:p w14:paraId="7BB0A9BB"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color w:val="000000"/>
          <w:kern w:val="0"/>
          <w:sz w:val="20"/>
          <w:szCs w:val="20"/>
          <w14:ligatures w14:val="none"/>
        </w:rPr>
        <w:t>  </w:t>
      </w:r>
      <w:r w:rsidRPr="00022C4F">
        <w:rPr>
          <w:rFonts w:ascii="Arial" w:eastAsia="Times New Roman" w:hAnsi="Arial" w:cs="Arial"/>
          <w:b/>
          <w:bCs/>
          <w:color w:val="000000"/>
          <w:kern w:val="0"/>
          <w:sz w:val="20"/>
          <w:szCs w:val="20"/>
          <w14:ligatures w14:val="none"/>
        </w:rPr>
        <w:t>7.3.5.  </w:t>
      </w:r>
      <w:r w:rsidRPr="00022C4F">
        <w:rPr>
          <w:rFonts w:ascii="Arial" w:eastAsia="Times New Roman" w:hAnsi="Arial" w:cs="Arial"/>
          <w:color w:val="000000"/>
          <w:kern w:val="0"/>
          <w:sz w:val="20"/>
          <w:szCs w:val="20"/>
          <w14:ligatures w14:val="none"/>
        </w:rPr>
        <w:t>The Association’s most recent financial documents which consist of: (1) the Association’s operating budget for the current fiscal year, (2) the Association’s most recent annual financial statements, including any amounts held in reserve for the fiscal year immediately preceding the Association’s last Annual Disclosure, (3) the results of the Association’s most recent available financial audit or review, (4) list of the fees and charges (regardless of name or title of such fees or charges) that the Association’s community association manager or Association will charge in connection with the Closing including, but not limited to, any fee incident to the issuance of the Association’s statement of assessments (Status Letter), any rush or update fee charged for the Status Letter, any record change fee or ownership record transfer fees (Record Change Fee), fees to access documents, (5) list of all assessments required to be paid in advance, reserves or working capital due at Closing and (6) reserve study, if any (§§ 7.3.4. and 7.3.5., collectively, Financial Documents);</w:t>
      </w:r>
    </w:p>
    <w:p w14:paraId="436C57A8"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color w:val="000000"/>
          <w:kern w:val="0"/>
          <w:sz w:val="20"/>
          <w:szCs w:val="20"/>
          <w14:ligatures w14:val="none"/>
        </w:rPr>
        <w:t>  </w:t>
      </w:r>
      <w:r w:rsidRPr="00022C4F">
        <w:rPr>
          <w:rFonts w:ascii="Arial" w:eastAsia="Times New Roman" w:hAnsi="Arial" w:cs="Arial"/>
          <w:b/>
          <w:bCs/>
          <w:color w:val="000000"/>
          <w:kern w:val="0"/>
          <w:sz w:val="20"/>
          <w:szCs w:val="20"/>
          <w14:ligatures w14:val="none"/>
        </w:rPr>
        <w:t>7.3.6.  </w:t>
      </w:r>
      <w:r w:rsidRPr="00022C4F">
        <w:rPr>
          <w:rFonts w:ascii="Arial" w:eastAsia="Times New Roman" w:hAnsi="Arial" w:cs="Arial"/>
          <w:color w:val="000000"/>
          <w:kern w:val="0"/>
          <w:sz w:val="20"/>
          <w:szCs w:val="20"/>
          <w14:ligatures w14:val="none"/>
        </w:rPr>
        <w:t>Any written notice from the Association to Seller of a “construction defect action” under § 38-33.3-303.5, C.R.S. within the past six months and the result of whether the Association approved or disapproved such action (Construction Defect Documents). Nothing in this Section limits the Seller’s obligation to disclose adverse material facts as required under § 10.2. (Disclosure of Adverse Material Facts; Subsequent Disclosure; Present Condition) including any problems or defects in the common elements or limited common elements of the Association property.</w:t>
      </w:r>
    </w:p>
    <w:p w14:paraId="2E6B9116" w14:textId="77777777" w:rsidR="00022C4F" w:rsidRPr="00022C4F" w:rsidRDefault="00022C4F" w:rsidP="00022C4F">
      <w:pPr>
        <w:shd w:val="clear" w:color="auto" w:fill="FFFFFF"/>
        <w:spacing w:after="0" w:line="240" w:lineRule="auto"/>
        <w:rPr>
          <w:rFonts w:ascii="Arial" w:eastAsia="Times New Roman" w:hAnsi="Arial" w:cs="Arial"/>
          <w:color w:val="222222"/>
          <w:kern w:val="0"/>
          <w:sz w:val="24"/>
          <w:szCs w:val="24"/>
          <w14:ligatures w14:val="none"/>
        </w:rPr>
      </w:pPr>
      <w:r w:rsidRPr="00022C4F">
        <w:rPr>
          <w:rFonts w:ascii="Arial" w:eastAsia="Times New Roman" w:hAnsi="Arial" w:cs="Arial"/>
          <w:color w:val="000000"/>
          <w:kern w:val="0"/>
          <w:sz w:val="20"/>
          <w:szCs w:val="20"/>
          <w14:ligatures w14:val="none"/>
        </w:rPr>
        <w:lastRenderedPageBreak/>
        <w:t> </w:t>
      </w:r>
      <w:r w:rsidRPr="00022C4F">
        <w:rPr>
          <w:rFonts w:ascii="Arial" w:eastAsia="Times New Roman" w:hAnsi="Arial" w:cs="Arial"/>
          <w:b/>
          <w:bCs/>
          <w:color w:val="000000"/>
          <w:kern w:val="0"/>
          <w:sz w:val="20"/>
          <w:szCs w:val="20"/>
          <w14:ligatures w14:val="none"/>
        </w:rPr>
        <w:t>7.4.  Conditional on Buyer’s Review. </w:t>
      </w:r>
      <w:r w:rsidRPr="00022C4F">
        <w:rPr>
          <w:rFonts w:ascii="Arial" w:eastAsia="Times New Roman" w:hAnsi="Arial" w:cs="Arial"/>
          <w:color w:val="000000"/>
          <w:kern w:val="0"/>
          <w:sz w:val="20"/>
          <w:szCs w:val="20"/>
          <w14:ligatures w14:val="none"/>
        </w:rPr>
        <w:t>Buyer has the right to review the Association Documents. Buyer has the Right to Terminate under § 24.1., on or before </w:t>
      </w:r>
      <w:r w:rsidRPr="00022C4F">
        <w:rPr>
          <w:rFonts w:ascii="Arial" w:eastAsia="Times New Roman" w:hAnsi="Arial" w:cs="Arial"/>
          <w:b/>
          <w:bCs/>
          <w:color w:val="000000"/>
          <w:kern w:val="0"/>
          <w:sz w:val="20"/>
          <w:szCs w:val="20"/>
          <w14:ligatures w14:val="none"/>
        </w:rPr>
        <w:t>Association Documents Termination Deadline,</w:t>
      </w:r>
      <w:r w:rsidRPr="00022C4F">
        <w:rPr>
          <w:rFonts w:ascii="Arial" w:eastAsia="Times New Roman" w:hAnsi="Arial" w:cs="Arial"/>
          <w:color w:val="000000"/>
          <w:kern w:val="0"/>
          <w:sz w:val="20"/>
          <w:szCs w:val="20"/>
          <w14:ligatures w14:val="none"/>
        </w:rPr>
        <w:t> based on any unsatisfactory provision in any of the Association Documents, in Buyer’s sole subjective discretion. Should Buyer receive the Association Documents after </w:t>
      </w:r>
      <w:r w:rsidRPr="00022C4F">
        <w:rPr>
          <w:rFonts w:ascii="Arial" w:eastAsia="Times New Roman" w:hAnsi="Arial" w:cs="Arial"/>
          <w:b/>
          <w:bCs/>
          <w:color w:val="000000"/>
          <w:kern w:val="0"/>
          <w:sz w:val="20"/>
          <w:szCs w:val="20"/>
          <w14:ligatures w14:val="none"/>
        </w:rPr>
        <w:t>Association Documents Deadline,</w:t>
      </w:r>
      <w:r w:rsidRPr="00022C4F">
        <w:rPr>
          <w:rFonts w:ascii="Arial" w:eastAsia="Times New Roman" w:hAnsi="Arial" w:cs="Arial"/>
          <w:color w:val="000000"/>
          <w:kern w:val="0"/>
          <w:sz w:val="20"/>
          <w:szCs w:val="20"/>
          <w14:ligatures w14:val="none"/>
        </w:rPr>
        <w:t> Buyer, at Buyer’s option, has the Right to Terminate under § 24.1. by Buyer’s Notice to Terminate received by Seller on or before ten days after Buyer’s receipt of the Association Documents. If Buyer does not receive the Association Documents, or if Buyer’s Notice to Terminate would otherwise be required to be received by Seller after </w:t>
      </w:r>
      <w:r w:rsidRPr="00022C4F">
        <w:rPr>
          <w:rFonts w:ascii="Arial" w:eastAsia="Times New Roman" w:hAnsi="Arial" w:cs="Arial"/>
          <w:b/>
          <w:bCs/>
          <w:color w:val="000000"/>
          <w:kern w:val="0"/>
          <w:sz w:val="20"/>
          <w:szCs w:val="20"/>
          <w14:ligatures w14:val="none"/>
        </w:rPr>
        <w:t>Closing Date,</w:t>
      </w:r>
      <w:r w:rsidRPr="00022C4F">
        <w:rPr>
          <w:rFonts w:ascii="Arial" w:eastAsia="Times New Roman" w:hAnsi="Arial" w:cs="Arial"/>
          <w:color w:val="000000"/>
          <w:kern w:val="0"/>
          <w:sz w:val="20"/>
          <w:szCs w:val="20"/>
          <w14:ligatures w14:val="none"/>
        </w:rPr>
        <w:t> Buyer’s Notice to Terminate must be received by Seller on or before Closing. If Seller does not receive Buyer’s Notice to Terminate within such time, Buyer accepts the provisions of the Association Documents as satisfactory and Buyer waives any Right to Terminate under this provision, notwithstanding the provisions of § 8.6. (Third Party Right to Purchase/Approve).</w:t>
      </w:r>
    </w:p>
    <w:p w14:paraId="72C82EEC" w14:textId="77777777" w:rsidR="00572B2D" w:rsidRDefault="00572B2D"/>
    <w:sectPr w:rsidR="00572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4F"/>
    <w:rsid w:val="00002D69"/>
    <w:rsid w:val="00022C4F"/>
    <w:rsid w:val="00042888"/>
    <w:rsid w:val="00054CA6"/>
    <w:rsid w:val="00056717"/>
    <w:rsid w:val="0006056D"/>
    <w:rsid w:val="00063791"/>
    <w:rsid w:val="00070173"/>
    <w:rsid w:val="0007229A"/>
    <w:rsid w:val="000730CB"/>
    <w:rsid w:val="00073746"/>
    <w:rsid w:val="0008450C"/>
    <w:rsid w:val="000869C6"/>
    <w:rsid w:val="000902A3"/>
    <w:rsid w:val="00091A20"/>
    <w:rsid w:val="0009556E"/>
    <w:rsid w:val="000A0131"/>
    <w:rsid w:val="000A17D2"/>
    <w:rsid w:val="000A72EC"/>
    <w:rsid w:val="000B246C"/>
    <w:rsid w:val="000B3BB2"/>
    <w:rsid w:val="000B3D7A"/>
    <w:rsid w:val="000B7042"/>
    <w:rsid w:val="000C2B0C"/>
    <w:rsid w:val="000C7964"/>
    <w:rsid w:val="000D1EC5"/>
    <w:rsid w:val="000D6FD1"/>
    <w:rsid w:val="000E4FEA"/>
    <w:rsid w:val="000E67A5"/>
    <w:rsid w:val="000F1D04"/>
    <w:rsid w:val="000F6F6B"/>
    <w:rsid w:val="00100082"/>
    <w:rsid w:val="0010032D"/>
    <w:rsid w:val="00104939"/>
    <w:rsid w:val="001066FF"/>
    <w:rsid w:val="00107317"/>
    <w:rsid w:val="001420CA"/>
    <w:rsid w:val="00150938"/>
    <w:rsid w:val="00160515"/>
    <w:rsid w:val="0016445F"/>
    <w:rsid w:val="001707D9"/>
    <w:rsid w:val="00173E21"/>
    <w:rsid w:val="00180C9D"/>
    <w:rsid w:val="00183CAC"/>
    <w:rsid w:val="001A2905"/>
    <w:rsid w:val="001A3B8C"/>
    <w:rsid w:val="001A73D4"/>
    <w:rsid w:val="001B02E6"/>
    <w:rsid w:val="001B0455"/>
    <w:rsid w:val="001B0BFC"/>
    <w:rsid w:val="001C33B0"/>
    <w:rsid w:val="001C5257"/>
    <w:rsid w:val="001D14AE"/>
    <w:rsid w:val="001D2C83"/>
    <w:rsid w:val="001D734F"/>
    <w:rsid w:val="001F2F79"/>
    <w:rsid w:val="001F61F4"/>
    <w:rsid w:val="00204131"/>
    <w:rsid w:val="0021039F"/>
    <w:rsid w:val="0021530A"/>
    <w:rsid w:val="002222B8"/>
    <w:rsid w:val="00223650"/>
    <w:rsid w:val="00226BB0"/>
    <w:rsid w:val="0024061C"/>
    <w:rsid w:val="00241A05"/>
    <w:rsid w:val="002425CA"/>
    <w:rsid w:val="00245AE2"/>
    <w:rsid w:val="00246356"/>
    <w:rsid w:val="00246E4E"/>
    <w:rsid w:val="00246FC6"/>
    <w:rsid w:val="002476D5"/>
    <w:rsid w:val="00247E19"/>
    <w:rsid w:val="00260DF7"/>
    <w:rsid w:val="00266F58"/>
    <w:rsid w:val="002742C8"/>
    <w:rsid w:val="00285A10"/>
    <w:rsid w:val="00294D4E"/>
    <w:rsid w:val="002A2193"/>
    <w:rsid w:val="002A4C7F"/>
    <w:rsid w:val="002B261F"/>
    <w:rsid w:val="002B55DF"/>
    <w:rsid w:val="002C0539"/>
    <w:rsid w:val="002C7F5F"/>
    <w:rsid w:val="002E12C4"/>
    <w:rsid w:val="002E157B"/>
    <w:rsid w:val="002E6DFE"/>
    <w:rsid w:val="002F16CF"/>
    <w:rsid w:val="002F515E"/>
    <w:rsid w:val="00303A63"/>
    <w:rsid w:val="00306BA2"/>
    <w:rsid w:val="00307005"/>
    <w:rsid w:val="003103EB"/>
    <w:rsid w:val="0031104D"/>
    <w:rsid w:val="00316459"/>
    <w:rsid w:val="00320F97"/>
    <w:rsid w:val="00326117"/>
    <w:rsid w:val="00333FF2"/>
    <w:rsid w:val="0034324D"/>
    <w:rsid w:val="003509A2"/>
    <w:rsid w:val="00354749"/>
    <w:rsid w:val="003548DB"/>
    <w:rsid w:val="00357433"/>
    <w:rsid w:val="003662A3"/>
    <w:rsid w:val="003713EA"/>
    <w:rsid w:val="003772B4"/>
    <w:rsid w:val="00384EDD"/>
    <w:rsid w:val="003A513C"/>
    <w:rsid w:val="003B0DF1"/>
    <w:rsid w:val="003B5589"/>
    <w:rsid w:val="003B6174"/>
    <w:rsid w:val="003D12F6"/>
    <w:rsid w:val="003D4F5C"/>
    <w:rsid w:val="003F0A4A"/>
    <w:rsid w:val="0040241E"/>
    <w:rsid w:val="00402AFA"/>
    <w:rsid w:val="004031E4"/>
    <w:rsid w:val="00422EF9"/>
    <w:rsid w:val="0042428F"/>
    <w:rsid w:val="00432117"/>
    <w:rsid w:val="00434306"/>
    <w:rsid w:val="00442174"/>
    <w:rsid w:val="00450235"/>
    <w:rsid w:val="00450EAB"/>
    <w:rsid w:val="00477B79"/>
    <w:rsid w:val="004847D9"/>
    <w:rsid w:val="00491174"/>
    <w:rsid w:val="004928A6"/>
    <w:rsid w:val="00495C72"/>
    <w:rsid w:val="004A114F"/>
    <w:rsid w:val="004A177A"/>
    <w:rsid w:val="004C7F10"/>
    <w:rsid w:val="004D266F"/>
    <w:rsid w:val="004D393F"/>
    <w:rsid w:val="004D7CEC"/>
    <w:rsid w:val="004E3A40"/>
    <w:rsid w:val="004E3B7B"/>
    <w:rsid w:val="004E47E4"/>
    <w:rsid w:val="004F219D"/>
    <w:rsid w:val="004F61CB"/>
    <w:rsid w:val="00500298"/>
    <w:rsid w:val="00506AA0"/>
    <w:rsid w:val="0050720F"/>
    <w:rsid w:val="0051213A"/>
    <w:rsid w:val="005202AC"/>
    <w:rsid w:val="005332B7"/>
    <w:rsid w:val="00533A59"/>
    <w:rsid w:val="00533EB9"/>
    <w:rsid w:val="005479EE"/>
    <w:rsid w:val="00562B76"/>
    <w:rsid w:val="005677E7"/>
    <w:rsid w:val="00572B2D"/>
    <w:rsid w:val="00576DFC"/>
    <w:rsid w:val="0058065A"/>
    <w:rsid w:val="00583ED5"/>
    <w:rsid w:val="0059098C"/>
    <w:rsid w:val="00595A47"/>
    <w:rsid w:val="00595D3D"/>
    <w:rsid w:val="005A7B84"/>
    <w:rsid w:val="005B621D"/>
    <w:rsid w:val="005C13F5"/>
    <w:rsid w:val="005C17D2"/>
    <w:rsid w:val="005C33CA"/>
    <w:rsid w:val="005C3951"/>
    <w:rsid w:val="005C7943"/>
    <w:rsid w:val="005C7C91"/>
    <w:rsid w:val="005D3C43"/>
    <w:rsid w:val="005D49A7"/>
    <w:rsid w:val="005D61B6"/>
    <w:rsid w:val="005D7731"/>
    <w:rsid w:val="005E7EDA"/>
    <w:rsid w:val="005F36D1"/>
    <w:rsid w:val="005F45B1"/>
    <w:rsid w:val="005F5FC8"/>
    <w:rsid w:val="00616D18"/>
    <w:rsid w:val="00627404"/>
    <w:rsid w:val="00640154"/>
    <w:rsid w:val="00642DA2"/>
    <w:rsid w:val="00644B87"/>
    <w:rsid w:val="00647475"/>
    <w:rsid w:val="006518A1"/>
    <w:rsid w:val="006834B8"/>
    <w:rsid w:val="0069115A"/>
    <w:rsid w:val="00691377"/>
    <w:rsid w:val="006979A8"/>
    <w:rsid w:val="006A1740"/>
    <w:rsid w:val="006A6FEE"/>
    <w:rsid w:val="006B71D1"/>
    <w:rsid w:val="006D0ADC"/>
    <w:rsid w:val="006D16AA"/>
    <w:rsid w:val="006D78FB"/>
    <w:rsid w:val="006E27F7"/>
    <w:rsid w:val="006F50F5"/>
    <w:rsid w:val="00707D08"/>
    <w:rsid w:val="00712552"/>
    <w:rsid w:val="007207A0"/>
    <w:rsid w:val="007239F8"/>
    <w:rsid w:val="00724345"/>
    <w:rsid w:val="0072647B"/>
    <w:rsid w:val="007325ED"/>
    <w:rsid w:val="00733CC0"/>
    <w:rsid w:val="00735AA9"/>
    <w:rsid w:val="00751CEB"/>
    <w:rsid w:val="00753C2E"/>
    <w:rsid w:val="007548B9"/>
    <w:rsid w:val="007664EC"/>
    <w:rsid w:val="00770C00"/>
    <w:rsid w:val="00774F6D"/>
    <w:rsid w:val="007750D4"/>
    <w:rsid w:val="00777AAC"/>
    <w:rsid w:val="00783474"/>
    <w:rsid w:val="007953A8"/>
    <w:rsid w:val="0079627A"/>
    <w:rsid w:val="007A3A82"/>
    <w:rsid w:val="007B275E"/>
    <w:rsid w:val="007D5C09"/>
    <w:rsid w:val="007E2D33"/>
    <w:rsid w:val="007E71D9"/>
    <w:rsid w:val="007F0995"/>
    <w:rsid w:val="008026DB"/>
    <w:rsid w:val="008059B8"/>
    <w:rsid w:val="0080715F"/>
    <w:rsid w:val="00807AF3"/>
    <w:rsid w:val="00807ED0"/>
    <w:rsid w:val="00810163"/>
    <w:rsid w:val="0081746B"/>
    <w:rsid w:val="00817DFF"/>
    <w:rsid w:val="0083525F"/>
    <w:rsid w:val="00855D08"/>
    <w:rsid w:val="00862D16"/>
    <w:rsid w:val="00862E7B"/>
    <w:rsid w:val="0086386F"/>
    <w:rsid w:val="00874812"/>
    <w:rsid w:val="00875F9C"/>
    <w:rsid w:val="00887649"/>
    <w:rsid w:val="008A3BE4"/>
    <w:rsid w:val="008A4AE9"/>
    <w:rsid w:val="008B130A"/>
    <w:rsid w:val="008B3A2F"/>
    <w:rsid w:val="008D09D1"/>
    <w:rsid w:val="008D10E8"/>
    <w:rsid w:val="008E18AD"/>
    <w:rsid w:val="008E274F"/>
    <w:rsid w:val="008E7B15"/>
    <w:rsid w:val="008F2826"/>
    <w:rsid w:val="008F6E94"/>
    <w:rsid w:val="00901F2B"/>
    <w:rsid w:val="00911CA0"/>
    <w:rsid w:val="00913DB3"/>
    <w:rsid w:val="009146CF"/>
    <w:rsid w:val="00915479"/>
    <w:rsid w:val="009154FD"/>
    <w:rsid w:val="0091553D"/>
    <w:rsid w:val="00923FD8"/>
    <w:rsid w:val="00924825"/>
    <w:rsid w:val="0093633B"/>
    <w:rsid w:val="009438ED"/>
    <w:rsid w:val="00957831"/>
    <w:rsid w:val="00963168"/>
    <w:rsid w:val="00963196"/>
    <w:rsid w:val="00975201"/>
    <w:rsid w:val="009865BF"/>
    <w:rsid w:val="00992C2D"/>
    <w:rsid w:val="00993454"/>
    <w:rsid w:val="009941AD"/>
    <w:rsid w:val="009A2FD9"/>
    <w:rsid w:val="009B0227"/>
    <w:rsid w:val="009C3E15"/>
    <w:rsid w:val="009C4B2A"/>
    <w:rsid w:val="009D0AED"/>
    <w:rsid w:val="009D0E38"/>
    <w:rsid w:val="009D57FE"/>
    <w:rsid w:val="009E1F2F"/>
    <w:rsid w:val="009F13DF"/>
    <w:rsid w:val="009F59D1"/>
    <w:rsid w:val="00A036FF"/>
    <w:rsid w:val="00A044E1"/>
    <w:rsid w:val="00A06218"/>
    <w:rsid w:val="00A17A12"/>
    <w:rsid w:val="00A17E2F"/>
    <w:rsid w:val="00A20E02"/>
    <w:rsid w:val="00A30CE8"/>
    <w:rsid w:val="00A31097"/>
    <w:rsid w:val="00A352CA"/>
    <w:rsid w:val="00A36EC9"/>
    <w:rsid w:val="00A36F40"/>
    <w:rsid w:val="00A432BB"/>
    <w:rsid w:val="00A46BAD"/>
    <w:rsid w:val="00A474EC"/>
    <w:rsid w:val="00A51C51"/>
    <w:rsid w:val="00A57B39"/>
    <w:rsid w:val="00A627C9"/>
    <w:rsid w:val="00A66C59"/>
    <w:rsid w:val="00A809AA"/>
    <w:rsid w:val="00A81618"/>
    <w:rsid w:val="00A90600"/>
    <w:rsid w:val="00A93BFD"/>
    <w:rsid w:val="00AA2071"/>
    <w:rsid w:val="00AA40F4"/>
    <w:rsid w:val="00AB1A1A"/>
    <w:rsid w:val="00AB28C8"/>
    <w:rsid w:val="00AC0CEF"/>
    <w:rsid w:val="00AC506E"/>
    <w:rsid w:val="00AE1E61"/>
    <w:rsid w:val="00AE5ABD"/>
    <w:rsid w:val="00AE61CA"/>
    <w:rsid w:val="00AF6AF1"/>
    <w:rsid w:val="00AF6B3C"/>
    <w:rsid w:val="00AF7687"/>
    <w:rsid w:val="00B04C03"/>
    <w:rsid w:val="00B11253"/>
    <w:rsid w:val="00B12DF9"/>
    <w:rsid w:val="00B134D3"/>
    <w:rsid w:val="00B21C33"/>
    <w:rsid w:val="00B30BBB"/>
    <w:rsid w:val="00B35505"/>
    <w:rsid w:val="00B3652A"/>
    <w:rsid w:val="00B424F6"/>
    <w:rsid w:val="00B426B1"/>
    <w:rsid w:val="00B45442"/>
    <w:rsid w:val="00B45460"/>
    <w:rsid w:val="00B45D4A"/>
    <w:rsid w:val="00B54587"/>
    <w:rsid w:val="00B571EC"/>
    <w:rsid w:val="00B61855"/>
    <w:rsid w:val="00B61E46"/>
    <w:rsid w:val="00B70B86"/>
    <w:rsid w:val="00B74EAE"/>
    <w:rsid w:val="00B805B7"/>
    <w:rsid w:val="00B81D47"/>
    <w:rsid w:val="00B93996"/>
    <w:rsid w:val="00B97FF1"/>
    <w:rsid w:val="00BA7E4D"/>
    <w:rsid w:val="00BC0AD9"/>
    <w:rsid w:val="00BD55D1"/>
    <w:rsid w:val="00BE5548"/>
    <w:rsid w:val="00BF3B04"/>
    <w:rsid w:val="00BF6202"/>
    <w:rsid w:val="00C01CE9"/>
    <w:rsid w:val="00C1069C"/>
    <w:rsid w:val="00C137B5"/>
    <w:rsid w:val="00C14E38"/>
    <w:rsid w:val="00C36256"/>
    <w:rsid w:val="00C3763A"/>
    <w:rsid w:val="00C464D3"/>
    <w:rsid w:val="00C47535"/>
    <w:rsid w:val="00C505C5"/>
    <w:rsid w:val="00C52F8C"/>
    <w:rsid w:val="00C55195"/>
    <w:rsid w:val="00C61951"/>
    <w:rsid w:val="00C629EA"/>
    <w:rsid w:val="00C644FC"/>
    <w:rsid w:val="00C72577"/>
    <w:rsid w:val="00C821B8"/>
    <w:rsid w:val="00C84237"/>
    <w:rsid w:val="00C86C35"/>
    <w:rsid w:val="00C87A08"/>
    <w:rsid w:val="00C963A7"/>
    <w:rsid w:val="00CA1F48"/>
    <w:rsid w:val="00CB0D0E"/>
    <w:rsid w:val="00CB212D"/>
    <w:rsid w:val="00CB2E6F"/>
    <w:rsid w:val="00CB7B08"/>
    <w:rsid w:val="00CC646F"/>
    <w:rsid w:val="00CC7392"/>
    <w:rsid w:val="00CD1214"/>
    <w:rsid w:val="00CD7BB8"/>
    <w:rsid w:val="00CE23AD"/>
    <w:rsid w:val="00CE319B"/>
    <w:rsid w:val="00CF1015"/>
    <w:rsid w:val="00CF1B78"/>
    <w:rsid w:val="00CF1CF2"/>
    <w:rsid w:val="00D07EC4"/>
    <w:rsid w:val="00D119D0"/>
    <w:rsid w:val="00D1604B"/>
    <w:rsid w:val="00D16150"/>
    <w:rsid w:val="00D205DA"/>
    <w:rsid w:val="00D25BA0"/>
    <w:rsid w:val="00D37AE7"/>
    <w:rsid w:val="00D4584D"/>
    <w:rsid w:val="00D472FB"/>
    <w:rsid w:val="00D52A07"/>
    <w:rsid w:val="00D60899"/>
    <w:rsid w:val="00D807AA"/>
    <w:rsid w:val="00D83563"/>
    <w:rsid w:val="00D8674F"/>
    <w:rsid w:val="00D90CB2"/>
    <w:rsid w:val="00DA0DE4"/>
    <w:rsid w:val="00DA3A37"/>
    <w:rsid w:val="00DC69FF"/>
    <w:rsid w:val="00DC71CC"/>
    <w:rsid w:val="00DD4E30"/>
    <w:rsid w:val="00DE0A9B"/>
    <w:rsid w:val="00DE4358"/>
    <w:rsid w:val="00DE7DDE"/>
    <w:rsid w:val="00E1297F"/>
    <w:rsid w:val="00E27DAC"/>
    <w:rsid w:val="00E372F1"/>
    <w:rsid w:val="00E43A9F"/>
    <w:rsid w:val="00E46D34"/>
    <w:rsid w:val="00E47038"/>
    <w:rsid w:val="00E55F57"/>
    <w:rsid w:val="00E5629E"/>
    <w:rsid w:val="00E600CE"/>
    <w:rsid w:val="00E73232"/>
    <w:rsid w:val="00E74164"/>
    <w:rsid w:val="00E75356"/>
    <w:rsid w:val="00E843AC"/>
    <w:rsid w:val="00E91ED9"/>
    <w:rsid w:val="00E973C9"/>
    <w:rsid w:val="00EA53A6"/>
    <w:rsid w:val="00EB0A00"/>
    <w:rsid w:val="00EB0A92"/>
    <w:rsid w:val="00EB5D52"/>
    <w:rsid w:val="00EE0082"/>
    <w:rsid w:val="00EE054B"/>
    <w:rsid w:val="00EE4ED6"/>
    <w:rsid w:val="00EE72AF"/>
    <w:rsid w:val="00EE73A2"/>
    <w:rsid w:val="00EF1833"/>
    <w:rsid w:val="00EF3F10"/>
    <w:rsid w:val="00EF65BA"/>
    <w:rsid w:val="00F139F6"/>
    <w:rsid w:val="00F13F97"/>
    <w:rsid w:val="00F222BB"/>
    <w:rsid w:val="00F223FC"/>
    <w:rsid w:val="00F242FB"/>
    <w:rsid w:val="00F26BF7"/>
    <w:rsid w:val="00F4614F"/>
    <w:rsid w:val="00F63336"/>
    <w:rsid w:val="00F64C11"/>
    <w:rsid w:val="00F654B6"/>
    <w:rsid w:val="00F71033"/>
    <w:rsid w:val="00F72EEF"/>
    <w:rsid w:val="00F76933"/>
    <w:rsid w:val="00F827BF"/>
    <w:rsid w:val="00F828EA"/>
    <w:rsid w:val="00FA50D0"/>
    <w:rsid w:val="00FB0EB4"/>
    <w:rsid w:val="00FB249B"/>
    <w:rsid w:val="00FB48AE"/>
    <w:rsid w:val="00FC5494"/>
    <w:rsid w:val="00FC5FAF"/>
    <w:rsid w:val="00FD723C"/>
    <w:rsid w:val="00FE6A68"/>
    <w:rsid w:val="00FF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8143"/>
  <w15:chartTrackingRefBased/>
  <w15:docId w15:val="{527EAC4B-174F-499C-A60A-F6B1BDD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M Carper CPA</dc:creator>
  <cp:keywords/>
  <dc:description/>
  <cp:lastModifiedBy>Janie M Carper CPA</cp:lastModifiedBy>
  <cp:revision>1</cp:revision>
  <dcterms:created xsi:type="dcterms:W3CDTF">2023-10-24T22:14:00Z</dcterms:created>
  <dcterms:modified xsi:type="dcterms:W3CDTF">2023-10-24T22:16:00Z</dcterms:modified>
</cp:coreProperties>
</file>